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CE2C" w14:textId="77777777" w:rsidR="00414CFD" w:rsidRDefault="00ED0259" w:rsidP="008D6A5A">
      <w:pPr>
        <w:jc w:val="center"/>
        <w:rPr>
          <w:b/>
          <w:sz w:val="32"/>
          <w:szCs w:val="32"/>
          <w:u w:val="single"/>
        </w:rPr>
      </w:pPr>
      <w:r w:rsidRPr="001340EE">
        <w:rPr>
          <w:noProof/>
        </w:rPr>
        <w:drawing>
          <wp:anchor distT="0" distB="0" distL="114300" distR="114300" simplePos="0" relativeHeight="251658240" behindDoc="0" locked="0" layoutInCell="1" allowOverlap="1" wp14:anchorId="0D36F9E4" wp14:editId="111D5255">
            <wp:simplePos x="0" y="0"/>
            <wp:positionH relativeFrom="margin">
              <wp:posOffset>15240</wp:posOffset>
            </wp:positionH>
            <wp:positionV relativeFrom="paragraph">
              <wp:posOffset>-221615</wp:posOffset>
            </wp:positionV>
            <wp:extent cx="647284" cy="7315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51" cy="73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7EB">
        <w:rPr>
          <w:b/>
          <w:sz w:val="32"/>
          <w:szCs w:val="32"/>
          <w:u w:val="single"/>
        </w:rPr>
        <w:t>Takin</w:t>
      </w:r>
      <w:r w:rsidR="00414CFD" w:rsidRPr="00093B24">
        <w:rPr>
          <w:b/>
          <w:sz w:val="32"/>
          <w:szCs w:val="32"/>
          <w:u w:val="single"/>
        </w:rPr>
        <w:t>g Care Of You</w:t>
      </w:r>
      <w:r w:rsidR="0071352F">
        <w:rPr>
          <w:b/>
          <w:sz w:val="32"/>
          <w:szCs w:val="32"/>
          <w:u w:val="single"/>
        </w:rPr>
        <w:t xml:space="preserve"> While Deployed</w:t>
      </w:r>
    </w:p>
    <w:p w14:paraId="74082E45" w14:textId="77777777" w:rsidR="003F7DA0" w:rsidRPr="00C037D2" w:rsidRDefault="003F7DA0" w:rsidP="003F7DA0">
      <w:pPr>
        <w:jc w:val="center"/>
        <w:rPr>
          <w:sz w:val="28"/>
          <w:szCs w:val="28"/>
        </w:rPr>
      </w:pPr>
      <w:r w:rsidRPr="00C037D2">
        <w:rPr>
          <w:sz w:val="28"/>
          <w:szCs w:val="28"/>
        </w:rPr>
        <w:t xml:space="preserve">Care for </w:t>
      </w:r>
      <w:r w:rsidR="00852EE9" w:rsidRPr="00C037D2">
        <w:rPr>
          <w:sz w:val="28"/>
          <w:szCs w:val="28"/>
        </w:rPr>
        <w:t>y</w:t>
      </w:r>
      <w:r w:rsidRPr="00C037D2">
        <w:rPr>
          <w:sz w:val="28"/>
          <w:szCs w:val="28"/>
        </w:rPr>
        <w:t>ourself so you can care for others</w:t>
      </w:r>
      <w:r w:rsidR="00852EE9" w:rsidRPr="00C037D2">
        <w:rPr>
          <w:sz w:val="28"/>
          <w:szCs w:val="28"/>
        </w:rPr>
        <w:t>!</w:t>
      </w:r>
    </w:p>
    <w:p w14:paraId="78E4076C" w14:textId="77777777" w:rsidR="008D11AD" w:rsidRDefault="008D11AD" w:rsidP="003F7DA0">
      <w:pPr>
        <w:jc w:val="center"/>
        <w:rPr>
          <w:b/>
          <w:sz w:val="28"/>
          <w:szCs w:val="28"/>
        </w:rPr>
      </w:pPr>
    </w:p>
    <w:p w14:paraId="5EFDABE6" w14:textId="77777777" w:rsidR="003F7DA0" w:rsidRPr="00015304" w:rsidRDefault="00920D46" w:rsidP="00920D46">
      <w:pPr>
        <w:jc w:val="both"/>
        <w:rPr>
          <w:rFonts w:cs="Arial"/>
          <w:szCs w:val="22"/>
        </w:rPr>
      </w:pPr>
      <w:r w:rsidRPr="00015304">
        <w:rPr>
          <w:rFonts w:cs="Arial"/>
          <w:szCs w:val="22"/>
        </w:rPr>
        <w:t>While</w:t>
      </w:r>
      <w:r w:rsidR="003F7DA0" w:rsidRPr="00015304">
        <w:rPr>
          <w:rFonts w:cs="Arial"/>
          <w:szCs w:val="22"/>
        </w:rPr>
        <w:t xml:space="preserve"> deployed to assist with disaster services</w:t>
      </w:r>
      <w:r w:rsidR="00D72D0B" w:rsidRPr="00015304">
        <w:rPr>
          <w:rFonts w:cs="Arial"/>
          <w:szCs w:val="22"/>
        </w:rPr>
        <w:t>,</w:t>
      </w:r>
      <w:r w:rsidR="003F7DA0" w:rsidRPr="00015304">
        <w:rPr>
          <w:rFonts w:cs="Arial"/>
          <w:szCs w:val="22"/>
        </w:rPr>
        <w:t xml:space="preserve"> please keep your health and well being in mind.  </w:t>
      </w:r>
      <w:r w:rsidR="004A4052" w:rsidRPr="00015304">
        <w:rPr>
          <w:rFonts w:cs="Arial"/>
          <w:szCs w:val="22"/>
        </w:rPr>
        <w:t xml:space="preserve">Your health and safety </w:t>
      </w:r>
      <w:r w:rsidR="008D6A5A">
        <w:rPr>
          <w:rFonts w:cs="Arial"/>
          <w:szCs w:val="22"/>
        </w:rPr>
        <w:t>are</w:t>
      </w:r>
      <w:r w:rsidR="004A4052" w:rsidRPr="00015304">
        <w:rPr>
          <w:rFonts w:cs="Arial"/>
          <w:szCs w:val="22"/>
        </w:rPr>
        <w:t xml:space="preserve"> just as important as those you are trying to help.  </w:t>
      </w:r>
      <w:r w:rsidR="003F7DA0" w:rsidRPr="00015304">
        <w:rPr>
          <w:rFonts w:cs="Arial"/>
          <w:szCs w:val="22"/>
        </w:rPr>
        <w:t>You can only be of assistance to others if you</w:t>
      </w:r>
      <w:r w:rsidR="00627711" w:rsidRPr="00015304">
        <w:rPr>
          <w:rFonts w:cs="Arial"/>
          <w:szCs w:val="22"/>
        </w:rPr>
        <w:t xml:space="preserve"> are</w:t>
      </w:r>
      <w:r w:rsidR="003F7DA0" w:rsidRPr="00015304">
        <w:rPr>
          <w:rFonts w:cs="Arial"/>
          <w:szCs w:val="22"/>
        </w:rPr>
        <w:t xml:space="preserve"> strong and healthy.  </w:t>
      </w:r>
    </w:p>
    <w:p w14:paraId="35C90DF2" w14:textId="183AA400" w:rsidR="006F5336" w:rsidRPr="006F5336" w:rsidRDefault="006F5336" w:rsidP="00920D46">
      <w:pPr>
        <w:spacing w:before="100" w:beforeAutospacing="1"/>
        <w:rPr>
          <w:rFonts w:cs="Arial"/>
          <w:szCs w:val="22"/>
        </w:rPr>
      </w:pPr>
      <w:r>
        <w:rPr>
          <w:rFonts w:cs="Arial"/>
          <w:b/>
          <w:bCs/>
          <w:szCs w:val="22"/>
        </w:rPr>
        <w:t>Ways to take care of yourself</w:t>
      </w:r>
      <w:r w:rsidR="009464DA">
        <w:rPr>
          <w:rFonts w:cs="Arial"/>
          <w:b/>
          <w:bCs/>
          <w:szCs w:val="22"/>
        </w:rPr>
        <w:t>:</w:t>
      </w:r>
    </w:p>
    <w:p w14:paraId="1FFD7BBB" w14:textId="78CC738A" w:rsidR="004F6237" w:rsidRPr="006F5336" w:rsidRDefault="003F7DA0" w:rsidP="000153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szCs w:val="22"/>
        </w:rPr>
      </w:pPr>
      <w:bookmarkStart w:id="0" w:name="2"/>
      <w:bookmarkStart w:id="1" w:name="3"/>
      <w:bookmarkEnd w:id="0"/>
      <w:bookmarkEnd w:id="1"/>
      <w:r w:rsidRPr="006F5336">
        <w:rPr>
          <w:rFonts w:cs="Arial"/>
          <w:szCs w:val="22"/>
        </w:rPr>
        <w:t>Make sure you stay hydrated.  It is recommended that you drink ½ oz. of water per pound of body wei</w:t>
      </w:r>
      <w:r w:rsidR="003373C8">
        <w:rPr>
          <w:rFonts w:cs="Arial"/>
          <w:szCs w:val="22"/>
        </w:rPr>
        <w:t>ght each day.  This means a 150-</w:t>
      </w:r>
      <w:r w:rsidRPr="006F5336">
        <w:rPr>
          <w:rFonts w:cs="Arial"/>
          <w:szCs w:val="22"/>
        </w:rPr>
        <w:t>lb. person should drink approximately 75 oz. of water each day.</w:t>
      </w:r>
      <w:r w:rsidR="00B42BE9" w:rsidRPr="006F5336">
        <w:rPr>
          <w:rFonts w:cs="Arial"/>
          <w:szCs w:val="22"/>
        </w:rPr>
        <w:t xml:space="preserve">  Make su</w:t>
      </w:r>
      <w:r w:rsidR="004F6237" w:rsidRPr="006F5336">
        <w:rPr>
          <w:rFonts w:cs="Arial"/>
          <w:szCs w:val="22"/>
        </w:rPr>
        <w:t xml:space="preserve">re the water you drink is safe.  </w:t>
      </w:r>
    </w:p>
    <w:p w14:paraId="5A807C7D" w14:textId="5BCA4126" w:rsidR="004F6237" w:rsidRPr="006F5336" w:rsidRDefault="00B42BE9" w:rsidP="000153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szCs w:val="22"/>
        </w:rPr>
      </w:pPr>
      <w:r w:rsidRPr="006F5336">
        <w:rPr>
          <w:rFonts w:cs="Arial"/>
          <w:szCs w:val="22"/>
        </w:rPr>
        <w:t>Make sure you eat</w:t>
      </w:r>
      <w:r w:rsidR="009464DA">
        <w:rPr>
          <w:rFonts w:cs="Arial"/>
          <w:szCs w:val="22"/>
        </w:rPr>
        <w:t xml:space="preserve"> and rest</w:t>
      </w:r>
      <w:r w:rsidRPr="006F5336">
        <w:rPr>
          <w:rFonts w:cs="Arial"/>
          <w:szCs w:val="22"/>
        </w:rPr>
        <w:t xml:space="preserve"> regularly to keep your energy level up.</w:t>
      </w:r>
      <w:r w:rsidR="00331CE6" w:rsidRPr="006F5336">
        <w:rPr>
          <w:rFonts w:cs="Arial"/>
          <w:szCs w:val="22"/>
        </w:rPr>
        <w:t xml:space="preserve">  </w:t>
      </w:r>
    </w:p>
    <w:p w14:paraId="0E34B329" w14:textId="793245F0" w:rsidR="00392350" w:rsidRPr="006F5336" w:rsidRDefault="003F7DA0" w:rsidP="000153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szCs w:val="22"/>
        </w:rPr>
      </w:pPr>
      <w:r w:rsidRPr="006F5336">
        <w:rPr>
          <w:rFonts w:cs="Arial"/>
          <w:szCs w:val="22"/>
        </w:rPr>
        <w:t>Continue taking your regular medications</w:t>
      </w:r>
      <w:r w:rsidR="00B42BE9" w:rsidRPr="006F5336">
        <w:rPr>
          <w:rFonts w:cs="Arial"/>
          <w:szCs w:val="22"/>
        </w:rPr>
        <w:t xml:space="preserve"> at the normal times</w:t>
      </w:r>
      <w:r w:rsidRPr="006F5336">
        <w:rPr>
          <w:rFonts w:cs="Arial"/>
          <w:szCs w:val="22"/>
        </w:rPr>
        <w:t xml:space="preserve"> each day. </w:t>
      </w:r>
    </w:p>
    <w:p w14:paraId="5AB043FE" w14:textId="0653CCFD" w:rsidR="006F5336" w:rsidRPr="003373C8" w:rsidRDefault="006F5336" w:rsidP="000153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szCs w:val="22"/>
        </w:rPr>
      </w:pPr>
      <w:r w:rsidRPr="006F5336">
        <w:rPr>
          <w:rFonts w:cs="Arial"/>
          <w:szCs w:val="22"/>
        </w:rPr>
        <w:t>Pair up with a responder so th</w:t>
      </w:r>
      <w:r w:rsidR="003373C8">
        <w:rPr>
          <w:rFonts w:cs="Arial"/>
          <w:szCs w:val="22"/>
        </w:rPr>
        <w:t xml:space="preserve">at you may monitor </w:t>
      </w:r>
      <w:r w:rsidR="00C51C64">
        <w:rPr>
          <w:rFonts w:cs="Arial"/>
          <w:szCs w:val="22"/>
        </w:rPr>
        <w:t>each</w:t>
      </w:r>
      <w:r w:rsidR="00944368">
        <w:rPr>
          <w:rFonts w:cs="Arial"/>
          <w:szCs w:val="22"/>
        </w:rPr>
        <w:t xml:space="preserve"> </w:t>
      </w:r>
      <w:r w:rsidR="00C51C64">
        <w:rPr>
          <w:rFonts w:cs="Arial"/>
          <w:szCs w:val="22"/>
        </w:rPr>
        <w:t>other</w:t>
      </w:r>
      <w:r w:rsidR="00944368">
        <w:rPr>
          <w:rFonts w:cs="Arial"/>
          <w:szCs w:val="22"/>
        </w:rPr>
        <w:t>’</w:t>
      </w:r>
      <w:r w:rsidR="003373C8">
        <w:rPr>
          <w:rFonts w:cs="Arial"/>
          <w:szCs w:val="22"/>
        </w:rPr>
        <w:t>s</w:t>
      </w:r>
      <w:r w:rsidR="00C51C64">
        <w:rPr>
          <w:rFonts w:cs="Arial"/>
          <w:szCs w:val="22"/>
        </w:rPr>
        <w:t xml:space="preserve"> stress and c</w:t>
      </w:r>
      <w:r w:rsidRPr="003373C8">
        <w:rPr>
          <w:rFonts w:cs="Arial"/>
          <w:szCs w:val="22"/>
        </w:rPr>
        <w:t>ommunica</w:t>
      </w:r>
      <w:r w:rsidR="00DC3432">
        <w:rPr>
          <w:rFonts w:cs="Arial"/>
          <w:szCs w:val="22"/>
        </w:rPr>
        <w:t xml:space="preserve">te your needs to your teammates and/or </w:t>
      </w:r>
      <w:r w:rsidR="00335F8B">
        <w:rPr>
          <w:rFonts w:cs="Arial"/>
          <w:szCs w:val="22"/>
        </w:rPr>
        <w:t>T</w:t>
      </w:r>
      <w:r w:rsidR="00DC3432">
        <w:rPr>
          <w:rFonts w:cs="Arial"/>
          <w:szCs w:val="22"/>
        </w:rPr>
        <w:t xml:space="preserve">eam </w:t>
      </w:r>
      <w:r w:rsidR="00335F8B">
        <w:rPr>
          <w:rFonts w:cs="Arial"/>
          <w:szCs w:val="22"/>
        </w:rPr>
        <w:t>L</w:t>
      </w:r>
      <w:r w:rsidR="00DC3432">
        <w:rPr>
          <w:rFonts w:cs="Arial"/>
          <w:szCs w:val="22"/>
        </w:rPr>
        <w:t>eader</w:t>
      </w:r>
      <w:r w:rsidRPr="003373C8">
        <w:rPr>
          <w:rFonts w:cs="Arial"/>
          <w:szCs w:val="22"/>
        </w:rPr>
        <w:t xml:space="preserve">.  </w:t>
      </w:r>
    </w:p>
    <w:p w14:paraId="372D4250" w14:textId="77777777" w:rsidR="00331CE6" w:rsidRPr="006F5336" w:rsidRDefault="00B42BE9" w:rsidP="000153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szCs w:val="22"/>
        </w:rPr>
      </w:pPr>
      <w:r w:rsidRPr="006F5336">
        <w:rPr>
          <w:rFonts w:cs="Arial"/>
          <w:szCs w:val="22"/>
        </w:rPr>
        <w:t xml:space="preserve">Schedule a break or rest period before you become seriously fatigued.  </w:t>
      </w:r>
    </w:p>
    <w:p w14:paraId="5E55C523" w14:textId="77777777" w:rsidR="004F6237" w:rsidRPr="006F5336" w:rsidRDefault="00331CE6" w:rsidP="000153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szCs w:val="22"/>
        </w:rPr>
      </w:pPr>
      <w:r w:rsidRPr="006F5336">
        <w:rPr>
          <w:rFonts w:cs="Arial"/>
          <w:szCs w:val="22"/>
        </w:rPr>
        <w:t>If possible</w:t>
      </w:r>
      <w:r w:rsidR="00C51C64">
        <w:rPr>
          <w:rFonts w:cs="Arial"/>
          <w:szCs w:val="22"/>
        </w:rPr>
        <w:t>,</w:t>
      </w:r>
      <w:r w:rsidRPr="006F5336">
        <w:rPr>
          <w:rFonts w:cs="Arial"/>
          <w:szCs w:val="22"/>
        </w:rPr>
        <w:t xml:space="preserve"> communicate with family members or friends for support.  </w:t>
      </w:r>
    </w:p>
    <w:p w14:paraId="1B78B3E6" w14:textId="18B2010D" w:rsidR="00627711" w:rsidRPr="00DC3432" w:rsidRDefault="00B42BE9" w:rsidP="000153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b/>
          <w:szCs w:val="22"/>
        </w:rPr>
      </w:pPr>
      <w:r w:rsidRPr="006F5336">
        <w:rPr>
          <w:rFonts w:cs="Arial"/>
          <w:szCs w:val="22"/>
        </w:rPr>
        <w:t>Share your feelings and frustrations with others before they cause physical or emotional symptoms and inhibit your ability to perform your job</w:t>
      </w:r>
      <w:r w:rsidRPr="00DC3432">
        <w:rPr>
          <w:rFonts w:cs="Arial"/>
          <w:b/>
          <w:szCs w:val="22"/>
        </w:rPr>
        <w:t xml:space="preserve">.  </w:t>
      </w:r>
    </w:p>
    <w:p w14:paraId="009A2C6A" w14:textId="5FCA641E" w:rsidR="00923127" w:rsidRPr="006F5336" w:rsidRDefault="00350982" w:rsidP="000153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szCs w:val="22"/>
        </w:rPr>
      </w:pPr>
      <w:r w:rsidRPr="006F5336">
        <w:rPr>
          <w:rFonts w:cs="Arial"/>
          <w:szCs w:val="22"/>
        </w:rPr>
        <w:t>Recognize signs of stress</w:t>
      </w:r>
      <w:r w:rsidR="00335F8B">
        <w:rPr>
          <w:rFonts w:cs="Arial"/>
          <w:szCs w:val="22"/>
        </w:rPr>
        <w:t>:</w:t>
      </w:r>
      <w:r w:rsidRPr="006F5336">
        <w:rPr>
          <w:rFonts w:cs="Arial"/>
          <w:szCs w:val="22"/>
        </w:rPr>
        <w:t xml:space="preserve"> inability to focus, sleep disturbance</w:t>
      </w:r>
      <w:r w:rsidR="00627711" w:rsidRPr="006F5336">
        <w:rPr>
          <w:rFonts w:cs="Arial"/>
          <w:szCs w:val="22"/>
        </w:rPr>
        <w:t>s</w:t>
      </w:r>
      <w:r w:rsidRPr="006F5336">
        <w:rPr>
          <w:rFonts w:cs="Arial"/>
          <w:szCs w:val="22"/>
        </w:rPr>
        <w:t>, physical symptoms (headache, stomachache),</w:t>
      </w:r>
      <w:r w:rsidR="00627711" w:rsidRPr="006F5336">
        <w:rPr>
          <w:rFonts w:cs="Arial"/>
          <w:szCs w:val="22"/>
        </w:rPr>
        <w:t xml:space="preserve"> physical exhaustion, and discuss </w:t>
      </w:r>
      <w:r w:rsidR="00C51C64">
        <w:rPr>
          <w:rFonts w:cs="Arial"/>
          <w:szCs w:val="22"/>
        </w:rPr>
        <w:t xml:space="preserve">these </w:t>
      </w:r>
      <w:r w:rsidR="00627711" w:rsidRPr="006F5336">
        <w:rPr>
          <w:rFonts w:cs="Arial"/>
          <w:szCs w:val="22"/>
        </w:rPr>
        <w:t xml:space="preserve">with your </w:t>
      </w:r>
      <w:r w:rsidR="00335F8B">
        <w:rPr>
          <w:rFonts w:cs="Arial"/>
          <w:szCs w:val="22"/>
        </w:rPr>
        <w:t>T</w:t>
      </w:r>
      <w:r w:rsidR="00627711" w:rsidRPr="006F5336">
        <w:rPr>
          <w:rFonts w:cs="Arial"/>
          <w:szCs w:val="22"/>
        </w:rPr>
        <w:t xml:space="preserve">eam </w:t>
      </w:r>
      <w:r w:rsidR="00335F8B">
        <w:rPr>
          <w:rFonts w:cs="Arial"/>
          <w:szCs w:val="22"/>
        </w:rPr>
        <w:t>L</w:t>
      </w:r>
      <w:r w:rsidR="00627711" w:rsidRPr="006F5336">
        <w:rPr>
          <w:rFonts w:cs="Arial"/>
          <w:szCs w:val="22"/>
        </w:rPr>
        <w:t xml:space="preserve">eader.  </w:t>
      </w:r>
    </w:p>
    <w:p w14:paraId="35A69847" w14:textId="12F4F122" w:rsidR="006F5336" w:rsidRDefault="0019233E" w:rsidP="000153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szCs w:val="22"/>
        </w:rPr>
      </w:pPr>
      <w:r w:rsidRPr="006F5336">
        <w:rPr>
          <w:rFonts w:cs="Arial"/>
          <w:szCs w:val="22"/>
        </w:rPr>
        <w:t xml:space="preserve">Use stress management techniques </w:t>
      </w:r>
      <w:r w:rsidR="00335F8B">
        <w:rPr>
          <w:rFonts w:cs="Arial"/>
          <w:szCs w:val="22"/>
        </w:rPr>
        <w:t>(</w:t>
      </w:r>
      <w:r w:rsidRPr="006F5336">
        <w:rPr>
          <w:rFonts w:cs="Arial"/>
          <w:szCs w:val="22"/>
        </w:rPr>
        <w:t>e.g. visualization, deep breathing, taking a break, stretching, or talking with a co-worker</w:t>
      </w:r>
      <w:r w:rsidR="00335F8B">
        <w:rPr>
          <w:rFonts w:cs="Arial"/>
          <w:szCs w:val="22"/>
        </w:rPr>
        <w:t>)</w:t>
      </w:r>
      <w:r w:rsidRPr="006F5336">
        <w:rPr>
          <w:rFonts w:cs="Arial"/>
          <w:szCs w:val="22"/>
        </w:rPr>
        <w:t xml:space="preserve"> to diffuse stress before i</w:t>
      </w:r>
      <w:r w:rsidR="00C51C64">
        <w:rPr>
          <w:rFonts w:cs="Arial"/>
          <w:szCs w:val="22"/>
        </w:rPr>
        <w:t>t</w:t>
      </w:r>
      <w:r w:rsidRPr="006F5336">
        <w:rPr>
          <w:rFonts w:cs="Arial"/>
          <w:szCs w:val="22"/>
        </w:rPr>
        <w:t xml:space="preserve"> becomes debilitating. </w:t>
      </w:r>
    </w:p>
    <w:p w14:paraId="532CB75B" w14:textId="31C7D889" w:rsidR="006F5336" w:rsidRDefault="006F5336" w:rsidP="0001530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szCs w:val="22"/>
        </w:rPr>
      </w:pPr>
      <w:r w:rsidRPr="006F5336">
        <w:rPr>
          <w:rFonts w:cs="Arial"/>
          <w:szCs w:val="22"/>
        </w:rPr>
        <w:t>Use counseling assistance programs availabl</w:t>
      </w:r>
      <w:r w:rsidR="00DC3432">
        <w:rPr>
          <w:rFonts w:cs="Arial"/>
          <w:szCs w:val="22"/>
        </w:rPr>
        <w:t xml:space="preserve">e through your agency such as the </w:t>
      </w:r>
      <w:r w:rsidR="00DC3432" w:rsidRPr="00B00347">
        <w:rPr>
          <w:rFonts w:cs="Arial"/>
          <w:szCs w:val="22"/>
          <w:highlight w:val="yellow"/>
        </w:rPr>
        <w:t>Employee Assistance Program (8</w:t>
      </w:r>
      <w:r w:rsidR="00407D50" w:rsidRPr="00B00347">
        <w:rPr>
          <w:rFonts w:cs="Arial"/>
          <w:szCs w:val="22"/>
          <w:highlight w:val="yellow"/>
        </w:rPr>
        <w:t>33-746-8337</w:t>
      </w:r>
      <w:r w:rsidR="00DC3432" w:rsidRPr="00B00347">
        <w:rPr>
          <w:rFonts w:cs="Arial"/>
          <w:szCs w:val="22"/>
          <w:highlight w:val="yellow"/>
        </w:rPr>
        <w:t>)</w:t>
      </w:r>
      <w:r w:rsidR="00DC3432">
        <w:rPr>
          <w:rFonts w:cs="Arial"/>
          <w:szCs w:val="22"/>
        </w:rPr>
        <w:t xml:space="preserve"> or Crisis Response Teams if your county has one.</w:t>
      </w:r>
    </w:p>
    <w:p w14:paraId="75830203" w14:textId="77777777" w:rsidR="006F5336" w:rsidRDefault="006F5336" w:rsidP="008D11AD">
      <w:pPr>
        <w:spacing w:before="100" w:beforeAutospacing="1"/>
        <w:rPr>
          <w:rFonts w:cs="Arial"/>
          <w:szCs w:val="22"/>
        </w:rPr>
      </w:pPr>
      <w:r w:rsidRPr="006F5336">
        <w:rPr>
          <w:rFonts w:cs="Arial"/>
          <w:b/>
          <w:bCs/>
          <w:szCs w:val="22"/>
        </w:rPr>
        <w:t>Signs That You May Need Stress Management Assistance</w:t>
      </w:r>
    </w:p>
    <w:tbl>
      <w:tblPr>
        <w:tblW w:w="10558" w:type="dxa"/>
        <w:tblLook w:val="04A0" w:firstRow="1" w:lastRow="0" w:firstColumn="1" w:lastColumn="0" w:noHBand="0" w:noVBand="1"/>
      </w:tblPr>
      <w:tblGrid>
        <w:gridCol w:w="5316"/>
        <w:gridCol w:w="5242"/>
      </w:tblGrid>
      <w:tr w:rsidR="008D11AD" w:rsidRPr="00780615" w14:paraId="27741177" w14:textId="77777777" w:rsidTr="00335F8B">
        <w:trPr>
          <w:trHeight w:val="2888"/>
        </w:trPr>
        <w:tc>
          <w:tcPr>
            <w:tcW w:w="5316" w:type="dxa"/>
            <w:shd w:val="clear" w:color="auto" w:fill="auto"/>
          </w:tcPr>
          <w:p w14:paraId="3DF112C5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Difficulty communicating thoughts </w:t>
            </w:r>
          </w:p>
          <w:p w14:paraId="6469D5C6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Difficulty remembering instructions </w:t>
            </w:r>
          </w:p>
          <w:p w14:paraId="4B3AEE56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Difficulty maintaining balance </w:t>
            </w:r>
          </w:p>
          <w:p w14:paraId="2ED6382D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>Wanting to isolate oneself</w:t>
            </w:r>
          </w:p>
          <w:p w14:paraId="6B35F581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Uncharacteristically argumentative </w:t>
            </w:r>
          </w:p>
          <w:p w14:paraId="101849EE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Difficulty making decisions </w:t>
            </w:r>
          </w:p>
          <w:p w14:paraId="0ED8F0E0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Limited attention span </w:t>
            </w:r>
          </w:p>
          <w:p w14:paraId="339D8ACE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Unnecessary risk-taking </w:t>
            </w:r>
          </w:p>
          <w:p w14:paraId="3DE2DAFA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Tremors/headaches/nausea </w:t>
            </w:r>
          </w:p>
          <w:p w14:paraId="42F77001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Tunnel vision/muffled hearing </w:t>
            </w:r>
          </w:p>
          <w:p w14:paraId="29909F45" w14:textId="77777777" w:rsidR="008D11AD" w:rsidRPr="00780615" w:rsidRDefault="008D11AD" w:rsidP="00C037D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Colds or flu-like symptoms </w:t>
            </w:r>
          </w:p>
        </w:tc>
        <w:tc>
          <w:tcPr>
            <w:tcW w:w="5242" w:type="dxa"/>
            <w:shd w:val="clear" w:color="auto" w:fill="auto"/>
          </w:tcPr>
          <w:p w14:paraId="2C3AE9CB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Disorientation or confusion </w:t>
            </w:r>
          </w:p>
          <w:p w14:paraId="6B27CE69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Difficulty concentrating </w:t>
            </w:r>
          </w:p>
          <w:p w14:paraId="71267ECA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Loss of objectivity </w:t>
            </w:r>
          </w:p>
          <w:p w14:paraId="6CDAF3E8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Easily frustrated </w:t>
            </w:r>
          </w:p>
          <w:p w14:paraId="26CBF41C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Unable to engage in problem-solving </w:t>
            </w:r>
          </w:p>
          <w:p w14:paraId="79608E24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Unable to let down when off duty </w:t>
            </w:r>
          </w:p>
          <w:p w14:paraId="0839EF39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Refusal to follow orders </w:t>
            </w:r>
          </w:p>
          <w:p w14:paraId="319AFFCD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Refusal to leave the scene </w:t>
            </w:r>
          </w:p>
          <w:p w14:paraId="225427C0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Increased use of drugs/alcohol </w:t>
            </w:r>
          </w:p>
          <w:p w14:paraId="1185C725" w14:textId="77777777" w:rsidR="008D11AD" w:rsidRPr="00780615" w:rsidRDefault="008D11AD" w:rsidP="007806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780615">
              <w:rPr>
                <w:rFonts w:cs="Arial"/>
                <w:szCs w:val="22"/>
              </w:rPr>
              <w:t xml:space="preserve">Unusual clumsiness </w:t>
            </w:r>
          </w:p>
          <w:p w14:paraId="54359A7A" w14:textId="77777777" w:rsidR="008D11AD" w:rsidRPr="00780615" w:rsidRDefault="008D11AD" w:rsidP="00780615">
            <w:pPr>
              <w:spacing w:before="100" w:beforeAutospacing="1"/>
              <w:rPr>
                <w:rFonts w:cs="Arial"/>
                <w:szCs w:val="22"/>
              </w:rPr>
            </w:pPr>
          </w:p>
        </w:tc>
      </w:tr>
    </w:tbl>
    <w:p w14:paraId="588AC200" w14:textId="77777777" w:rsidR="008D11AD" w:rsidRPr="00C037D2" w:rsidRDefault="008D11AD" w:rsidP="00C037D2">
      <w:pPr>
        <w:rPr>
          <w:rFonts w:cs="Arial"/>
          <w:szCs w:val="22"/>
        </w:rPr>
        <w:sectPr w:rsidR="008D11AD" w:rsidRPr="00C037D2" w:rsidSect="00C037D2">
          <w:footerReference w:type="default" r:id="rId9"/>
          <w:pgSz w:w="12240" w:h="15840"/>
          <w:pgMar w:top="630" w:right="1080" w:bottom="540" w:left="1080" w:header="720" w:footer="345" w:gutter="0"/>
          <w:cols w:space="720"/>
          <w:docGrid w:linePitch="360"/>
        </w:sectPr>
      </w:pPr>
    </w:p>
    <w:p w14:paraId="5E41611A" w14:textId="77777777" w:rsidR="008D11AD" w:rsidRPr="006F5336" w:rsidRDefault="008D11AD" w:rsidP="004B3A71">
      <w:pPr>
        <w:spacing w:before="100" w:beforeAutospacing="1" w:after="100" w:afterAutospacing="1"/>
        <w:rPr>
          <w:rFonts w:cs="Arial"/>
          <w:szCs w:val="22"/>
        </w:rPr>
      </w:pPr>
    </w:p>
    <w:sectPr w:rsidR="008D11AD" w:rsidRPr="006F5336" w:rsidSect="00282BE0">
      <w:type w:val="continuous"/>
      <w:pgSz w:w="12240" w:h="15840"/>
      <w:pgMar w:top="907" w:right="1080" w:bottom="1296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9C93" w14:textId="77777777" w:rsidR="004063CB" w:rsidRDefault="004063CB">
      <w:r>
        <w:separator/>
      </w:r>
    </w:p>
  </w:endnote>
  <w:endnote w:type="continuationSeparator" w:id="0">
    <w:p w14:paraId="185C236D" w14:textId="77777777" w:rsidR="004063CB" w:rsidRDefault="004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3CC9" w14:textId="04CB39D9" w:rsidR="005E25F1" w:rsidRPr="00A57306" w:rsidRDefault="00A57306" w:rsidP="00A57306">
    <w:pPr>
      <w:pStyle w:val="Footer"/>
      <w:tabs>
        <w:tab w:val="clear" w:pos="4320"/>
        <w:tab w:val="clear" w:pos="8640"/>
        <w:tab w:val="left" w:pos="8445"/>
      </w:tabs>
    </w:pPr>
    <w:r>
      <w:t>U</w:t>
    </w:r>
    <w:r w:rsidR="005F1765">
      <w:t xml:space="preserve">pdated </w:t>
    </w:r>
    <w:r w:rsidR="00B00347"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C445" w14:textId="77777777" w:rsidR="004063CB" w:rsidRDefault="004063CB">
      <w:r>
        <w:separator/>
      </w:r>
    </w:p>
  </w:footnote>
  <w:footnote w:type="continuationSeparator" w:id="0">
    <w:p w14:paraId="31A44D64" w14:textId="77777777" w:rsidR="004063CB" w:rsidRDefault="0040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6B7E"/>
    <w:multiLevelType w:val="multilevel"/>
    <w:tmpl w:val="04C2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015DC"/>
    <w:multiLevelType w:val="hybridMultilevel"/>
    <w:tmpl w:val="F2E4A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45260"/>
    <w:multiLevelType w:val="multilevel"/>
    <w:tmpl w:val="C7A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059F4"/>
    <w:multiLevelType w:val="hybridMultilevel"/>
    <w:tmpl w:val="5F5A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E25F2"/>
    <w:multiLevelType w:val="multilevel"/>
    <w:tmpl w:val="E9B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503838">
    <w:abstractNumId w:val="1"/>
  </w:num>
  <w:num w:numId="2" w16cid:durableId="215816603">
    <w:abstractNumId w:val="2"/>
  </w:num>
  <w:num w:numId="3" w16cid:durableId="159278935">
    <w:abstractNumId w:val="0"/>
  </w:num>
  <w:num w:numId="4" w16cid:durableId="1217400981">
    <w:abstractNumId w:val="4"/>
  </w:num>
  <w:num w:numId="5" w16cid:durableId="848642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A0"/>
    <w:rsid w:val="00000F2E"/>
    <w:rsid w:val="00015304"/>
    <w:rsid w:val="0001547D"/>
    <w:rsid w:val="00024871"/>
    <w:rsid w:val="00056FCB"/>
    <w:rsid w:val="000752D4"/>
    <w:rsid w:val="00093B24"/>
    <w:rsid w:val="001874DA"/>
    <w:rsid w:val="0019233E"/>
    <w:rsid w:val="00206F18"/>
    <w:rsid w:val="0023704C"/>
    <w:rsid w:val="002424F4"/>
    <w:rsid w:val="00245F90"/>
    <w:rsid w:val="00262B7A"/>
    <w:rsid w:val="00262D2C"/>
    <w:rsid w:val="00276C8E"/>
    <w:rsid w:val="00282BE0"/>
    <w:rsid w:val="00283D31"/>
    <w:rsid w:val="00296AE3"/>
    <w:rsid w:val="002A34AC"/>
    <w:rsid w:val="002B4717"/>
    <w:rsid w:val="0032377A"/>
    <w:rsid w:val="00325C6D"/>
    <w:rsid w:val="00327C3D"/>
    <w:rsid w:val="00331CE6"/>
    <w:rsid w:val="00335F8B"/>
    <w:rsid w:val="003373C8"/>
    <w:rsid w:val="00350982"/>
    <w:rsid w:val="00356236"/>
    <w:rsid w:val="00385E45"/>
    <w:rsid w:val="00392350"/>
    <w:rsid w:val="003A7210"/>
    <w:rsid w:val="003C70C1"/>
    <w:rsid w:val="003D1582"/>
    <w:rsid w:val="003E5190"/>
    <w:rsid w:val="003F7DA0"/>
    <w:rsid w:val="004063CB"/>
    <w:rsid w:val="00407D50"/>
    <w:rsid w:val="00414CFD"/>
    <w:rsid w:val="00435773"/>
    <w:rsid w:val="004357EB"/>
    <w:rsid w:val="004457F0"/>
    <w:rsid w:val="004702B1"/>
    <w:rsid w:val="0047239B"/>
    <w:rsid w:val="00494810"/>
    <w:rsid w:val="004A4052"/>
    <w:rsid w:val="004B3A71"/>
    <w:rsid w:val="004F6237"/>
    <w:rsid w:val="005121F7"/>
    <w:rsid w:val="00552F20"/>
    <w:rsid w:val="005E25F1"/>
    <w:rsid w:val="005F1765"/>
    <w:rsid w:val="005F6D9A"/>
    <w:rsid w:val="00627711"/>
    <w:rsid w:val="00641828"/>
    <w:rsid w:val="0068749C"/>
    <w:rsid w:val="006B259D"/>
    <w:rsid w:val="006B7D9D"/>
    <w:rsid w:val="006F5336"/>
    <w:rsid w:val="0070286E"/>
    <w:rsid w:val="00712335"/>
    <w:rsid w:val="0071352F"/>
    <w:rsid w:val="0071570A"/>
    <w:rsid w:val="007634ED"/>
    <w:rsid w:val="0078031D"/>
    <w:rsid w:val="00780615"/>
    <w:rsid w:val="00795A5F"/>
    <w:rsid w:val="00825EEB"/>
    <w:rsid w:val="00837A0B"/>
    <w:rsid w:val="00852EE9"/>
    <w:rsid w:val="008628DD"/>
    <w:rsid w:val="0087074C"/>
    <w:rsid w:val="008950EB"/>
    <w:rsid w:val="008C7574"/>
    <w:rsid w:val="008D11AD"/>
    <w:rsid w:val="008D6A5A"/>
    <w:rsid w:val="008F3B9B"/>
    <w:rsid w:val="00914BB0"/>
    <w:rsid w:val="00920D46"/>
    <w:rsid w:val="00923127"/>
    <w:rsid w:val="00944368"/>
    <w:rsid w:val="00944B3D"/>
    <w:rsid w:val="009464DA"/>
    <w:rsid w:val="00965846"/>
    <w:rsid w:val="00982F88"/>
    <w:rsid w:val="00983A1D"/>
    <w:rsid w:val="009D0A52"/>
    <w:rsid w:val="009D144C"/>
    <w:rsid w:val="00A0264D"/>
    <w:rsid w:val="00A13309"/>
    <w:rsid w:val="00A22F44"/>
    <w:rsid w:val="00A57306"/>
    <w:rsid w:val="00AA73BA"/>
    <w:rsid w:val="00AE644F"/>
    <w:rsid w:val="00B00347"/>
    <w:rsid w:val="00B204CD"/>
    <w:rsid w:val="00B254DF"/>
    <w:rsid w:val="00B42BE9"/>
    <w:rsid w:val="00B434A7"/>
    <w:rsid w:val="00B855AA"/>
    <w:rsid w:val="00C037D2"/>
    <w:rsid w:val="00C51C64"/>
    <w:rsid w:val="00C9365C"/>
    <w:rsid w:val="00C968D2"/>
    <w:rsid w:val="00C973F5"/>
    <w:rsid w:val="00D243F9"/>
    <w:rsid w:val="00D56E7E"/>
    <w:rsid w:val="00D72D0B"/>
    <w:rsid w:val="00D8685C"/>
    <w:rsid w:val="00DB0825"/>
    <w:rsid w:val="00DC3432"/>
    <w:rsid w:val="00E11DEC"/>
    <w:rsid w:val="00E46C3F"/>
    <w:rsid w:val="00E73BDD"/>
    <w:rsid w:val="00E84591"/>
    <w:rsid w:val="00E9400A"/>
    <w:rsid w:val="00EA51DC"/>
    <w:rsid w:val="00ED0259"/>
    <w:rsid w:val="00EE58CA"/>
    <w:rsid w:val="00F04246"/>
    <w:rsid w:val="00F60B46"/>
    <w:rsid w:val="00F632E7"/>
    <w:rsid w:val="00F95DB8"/>
    <w:rsid w:val="00FD1C3E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2F365E"/>
  <w15:chartTrackingRefBased/>
  <w15:docId w15:val="{0A57944E-5A3B-485F-B66D-97782FC2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AE3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77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868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8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25F7-9B94-4CFF-8BB5-6BEB126C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for Yourself so you can care for others……</vt:lpstr>
    </vt:vector>
  </TitlesOfParts>
  <Company>FL DOH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for Yourself so you can care for others……</dc:title>
  <dc:subject/>
  <dc:creator>DOH User</dc:creator>
  <cp:keywords/>
  <cp:lastModifiedBy>Tindle, Jade J</cp:lastModifiedBy>
  <cp:revision>5</cp:revision>
  <cp:lastPrinted>2018-03-22T15:17:00Z</cp:lastPrinted>
  <dcterms:created xsi:type="dcterms:W3CDTF">2022-03-23T15:43:00Z</dcterms:created>
  <dcterms:modified xsi:type="dcterms:W3CDTF">2023-06-01T13:03:00Z</dcterms:modified>
</cp:coreProperties>
</file>